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4A555E6D"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F71993">
        <w:t>11</w:t>
      </w:r>
      <w:r w:rsidR="005420B4">
        <w:t>.</w:t>
      </w:r>
      <w:r w:rsidR="00F60A53">
        <w:t xml:space="preserve"> </w:t>
      </w:r>
      <w:r w:rsidR="00E667B4">
        <w:t>listopadu</w:t>
      </w:r>
      <w:r w:rsidR="00A30105" w:rsidRPr="00455A3C">
        <w:t xml:space="preserve"> 20</w:t>
      </w:r>
      <w:r w:rsidR="00A7414F" w:rsidRPr="00455A3C">
        <w:t>2</w:t>
      </w:r>
      <w:r w:rsidR="00534D3B">
        <w:t>2</w:t>
      </w:r>
    </w:p>
    <w:p w14:paraId="4EC0D461" w14:textId="77777777" w:rsidR="000C727D" w:rsidRDefault="000C727D" w:rsidP="00F60A53">
      <w:pPr>
        <w:spacing w:after="120" w:line="276" w:lineRule="auto"/>
        <w:rPr>
          <w:b/>
          <w:sz w:val="28"/>
          <w:szCs w:val="28"/>
        </w:rPr>
      </w:pPr>
    </w:p>
    <w:p w14:paraId="56A06461" w14:textId="48259D60" w:rsidR="00303102" w:rsidRDefault="00F60A53" w:rsidP="00F60A53">
      <w:pPr>
        <w:spacing w:after="120" w:line="276" w:lineRule="auto"/>
        <w:rPr>
          <w:b/>
          <w:sz w:val="28"/>
          <w:szCs w:val="28"/>
        </w:rPr>
      </w:pPr>
      <w:r>
        <w:rPr>
          <w:b/>
          <w:sz w:val="28"/>
          <w:szCs w:val="28"/>
        </w:rPr>
        <w:t xml:space="preserve">Analýza </w:t>
      </w:r>
      <w:proofErr w:type="spellStart"/>
      <w:r w:rsidR="0057123D">
        <w:rPr>
          <w:b/>
          <w:sz w:val="28"/>
          <w:szCs w:val="28"/>
        </w:rPr>
        <w:t>Fidelity</w:t>
      </w:r>
      <w:proofErr w:type="spellEnd"/>
      <w:r w:rsidR="00D0697C">
        <w:rPr>
          <w:b/>
          <w:sz w:val="28"/>
          <w:szCs w:val="28"/>
        </w:rPr>
        <w:t xml:space="preserve"> </w:t>
      </w:r>
      <w:r w:rsidR="0057123D">
        <w:rPr>
          <w:b/>
          <w:sz w:val="28"/>
          <w:szCs w:val="28"/>
        </w:rPr>
        <w:t>International:</w:t>
      </w:r>
      <w:r w:rsidR="009C2915">
        <w:rPr>
          <w:b/>
          <w:sz w:val="28"/>
          <w:szCs w:val="28"/>
        </w:rPr>
        <w:t xml:space="preserve"> </w:t>
      </w:r>
      <w:r w:rsidR="00F71993">
        <w:rPr>
          <w:b/>
          <w:sz w:val="28"/>
          <w:szCs w:val="28"/>
        </w:rPr>
        <w:t>Dluhopisy jsou zpátky</w:t>
      </w:r>
    </w:p>
    <w:p w14:paraId="6237C097" w14:textId="77777777" w:rsidR="00F71993" w:rsidRPr="00F71993" w:rsidRDefault="00F71993" w:rsidP="00F60A53">
      <w:pPr>
        <w:spacing w:before="100" w:beforeAutospacing="1" w:after="100" w:afterAutospacing="1" w:line="276" w:lineRule="auto"/>
        <w:rPr>
          <w:rFonts w:asciiTheme="minorHAnsi" w:eastAsiaTheme="minorHAnsi" w:hAnsiTheme="minorHAnsi" w:cstheme="minorBidi"/>
          <w:b/>
          <w:sz w:val="24"/>
          <w:szCs w:val="24"/>
          <w:lang w:eastAsia="en-US"/>
        </w:rPr>
      </w:pPr>
      <w:r w:rsidRPr="00F71993">
        <w:rPr>
          <w:rFonts w:asciiTheme="minorHAnsi" w:eastAsiaTheme="minorHAnsi" w:hAnsiTheme="minorHAnsi" w:cstheme="minorBidi"/>
          <w:b/>
          <w:sz w:val="24"/>
          <w:szCs w:val="24"/>
          <w:lang w:eastAsia="en-US"/>
        </w:rPr>
        <w:t>Je to již 14 let, co Fed a další centrální banky v reakci na globální finanční krizi zahájily éru velmi nízkých úrokových sazeb a výnosů z dluhopisů. Tato éra skončila a v důsledku toho byly trhy nástrojů s pevným výnosem v uplynulém roce pod obrovským tlakem dvojího efektu rostoucích základních výnosů a širších úvěrových spreadů.</w:t>
      </w:r>
    </w:p>
    <w:p w14:paraId="469797B1" w14:textId="77777777" w:rsidR="00F71993" w:rsidRPr="00F71993" w:rsidRDefault="00F71993" w:rsidP="00F60A53">
      <w:pPr>
        <w:spacing w:after="210" w:line="276" w:lineRule="auto"/>
        <w:rPr>
          <w:color w:val="000000" w:themeColor="text1"/>
        </w:rPr>
      </w:pPr>
      <w:r w:rsidRPr="00F71993">
        <w:rPr>
          <w:color w:val="000000" w:themeColor="text1"/>
        </w:rPr>
        <w:t>Centrální banky již více než deset let smetají ze stolu jednu z hlavních karet v balíčku investorů. Skromný a spolehlivý výnos ze státních dluhopisů nebo vysoce hodnocených úvěrů býval považován za samozřejmost, stejně jako představa, že když na tom budou špatně akcie, budou spolehlivě profitovat dluhopisy a naopak.</w:t>
      </w:r>
    </w:p>
    <w:p w14:paraId="40A338BE" w14:textId="77777777" w:rsidR="00C43488" w:rsidRPr="00C43488" w:rsidRDefault="00C43488" w:rsidP="00F60A53">
      <w:pPr>
        <w:spacing w:after="210" w:line="276" w:lineRule="auto"/>
        <w:rPr>
          <w:color w:val="000000" w:themeColor="text1"/>
        </w:rPr>
      </w:pPr>
      <w:r w:rsidRPr="00C43488">
        <w:rPr>
          <w:color w:val="000000" w:themeColor="text1"/>
        </w:rPr>
        <w:t>Od roku 2009 si ale banky a investoři zvykli na jinou realitu: každoročně ukládali likviditu, kterou jim poskytly centrální banky, do nejrůznějších akcií a reálných aktiv a honili se za výnosy, kdekoli se daly najít. Z dluhopisových a peněžních trhů bylo možné vytlačit cenové, obchodní a relativní hodnotové zisky, pokud ale nešlo o riskantní hospodaření, výnosy byly na úrovni blízké nule nebo pod ní.</w:t>
      </w:r>
    </w:p>
    <w:p w14:paraId="50C4A9E3" w14:textId="77777777" w:rsidR="00C43488" w:rsidRPr="00C43488" w:rsidRDefault="00C43488" w:rsidP="00F60A53">
      <w:pPr>
        <w:spacing w:after="210" w:line="276" w:lineRule="auto"/>
        <w:rPr>
          <w:color w:val="000000" w:themeColor="text1"/>
        </w:rPr>
      </w:pPr>
      <w:r w:rsidRPr="00C43488">
        <w:rPr>
          <w:i/>
          <w:color w:val="000000" w:themeColor="text1"/>
        </w:rPr>
        <w:t xml:space="preserve">„To už je však pryč. Výnosy amerických dvouletých státních dluhopisů, které se dlouho pohybovaly pod 1 % a před rokem činily pouhých 30 bazických bodů, jsou na úrovni 4,5 %. Desetileté americké dluhopisy poprvé od roku 2008 překročily 4 %. Německé ekvivalenty, které byly po celý loňský rok hluboko v záporných nominálních hodnotách, se vrátily nad 2 %,“ </w:t>
      </w:r>
      <w:r w:rsidRPr="00C43488">
        <w:rPr>
          <w:color w:val="000000" w:themeColor="text1"/>
        </w:rPr>
        <w:t xml:space="preserve">vysvětluje Steve </w:t>
      </w:r>
      <w:proofErr w:type="spellStart"/>
      <w:r w:rsidRPr="00C43488">
        <w:rPr>
          <w:color w:val="000000" w:themeColor="text1"/>
        </w:rPr>
        <w:t>Ellis</w:t>
      </w:r>
      <w:proofErr w:type="spellEnd"/>
      <w:r w:rsidRPr="00C43488">
        <w:rPr>
          <w:color w:val="000000" w:themeColor="text1"/>
        </w:rPr>
        <w:t xml:space="preserve">, manažer portfolia dluhopisů rozvíjejících se zemí společnosti </w:t>
      </w:r>
      <w:proofErr w:type="spellStart"/>
      <w:r w:rsidRPr="00C43488">
        <w:rPr>
          <w:color w:val="000000" w:themeColor="text1"/>
        </w:rPr>
        <w:t>Fidelity</w:t>
      </w:r>
      <w:proofErr w:type="spellEnd"/>
      <w:r w:rsidRPr="00C43488">
        <w:rPr>
          <w:color w:val="000000" w:themeColor="text1"/>
        </w:rPr>
        <w:t>.</w:t>
      </w:r>
    </w:p>
    <w:p w14:paraId="23B653A4" w14:textId="77777777" w:rsidR="0056231D" w:rsidRPr="00C43488" w:rsidRDefault="00C43488" w:rsidP="00F60A53">
      <w:pPr>
        <w:spacing w:line="276" w:lineRule="auto"/>
        <w:rPr>
          <w:color w:val="000000" w:themeColor="text1"/>
        </w:rPr>
      </w:pPr>
      <w:r w:rsidRPr="00C43488">
        <w:rPr>
          <w:color w:val="000000" w:themeColor="text1"/>
        </w:rPr>
        <w:t>Navzdory zdánlivě atraktivnímu ocenění stále přetrvávají některá velká rizika. Dění na britských trzích v uplynulém měsíci přineslo výraznou slevu britských státních dluhopisů, což přilákalo kupce. Aféra kolem „</w:t>
      </w:r>
      <w:proofErr w:type="spellStart"/>
      <w:r w:rsidRPr="00C43488">
        <w:rPr>
          <w:color w:val="000000" w:themeColor="text1"/>
        </w:rPr>
        <w:t>minibudgetu</w:t>
      </w:r>
      <w:proofErr w:type="spellEnd"/>
      <w:r w:rsidRPr="00C43488">
        <w:rPr>
          <w:color w:val="000000" w:themeColor="text1"/>
        </w:rPr>
        <w:t xml:space="preserve">“, která vyvrcholila rezignací Liz </w:t>
      </w:r>
      <w:proofErr w:type="spellStart"/>
      <w:r w:rsidRPr="00C43488">
        <w:rPr>
          <w:color w:val="000000" w:themeColor="text1"/>
        </w:rPr>
        <w:t>Trussové</w:t>
      </w:r>
      <w:proofErr w:type="spellEnd"/>
      <w:r w:rsidRPr="00C43488">
        <w:rPr>
          <w:color w:val="000000" w:themeColor="text1"/>
        </w:rPr>
        <w:t xml:space="preserve"> na post premiérky, však může být jen prvním náznakem trhlin, které se objevují v globálním systému. </w:t>
      </w:r>
      <w:r w:rsidRPr="00C43488">
        <w:rPr>
          <w:i/>
          <w:color w:val="000000" w:themeColor="text1"/>
        </w:rPr>
        <w:t>„Pozorně sledujeme globální likviditu, zejména na trzích amerických státních dluhopisů, a stále není jasné, zda mnohem větší spready v některých oblastech dluhopisového trhu odpovídají rozsahu recese – a nesplácení, co máme před sebou,“</w:t>
      </w:r>
      <w:r w:rsidRPr="00C43488">
        <w:rPr>
          <w:color w:val="000000" w:themeColor="text1"/>
        </w:rPr>
        <w:t xml:space="preserve"> podotýká Steve </w:t>
      </w:r>
      <w:proofErr w:type="spellStart"/>
      <w:r w:rsidRPr="00C43488">
        <w:rPr>
          <w:color w:val="000000" w:themeColor="text1"/>
        </w:rPr>
        <w:t>Ellis</w:t>
      </w:r>
      <w:proofErr w:type="spellEnd"/>
      <w:r w:rsidRPr="00C43488">
        <w:rPr>
          <w:color w:val="000000" w:themeColor="text1"/>
        </w:rPr>
        <w:t>.</w:t>
      </w:r>
    </w:p>
    <w:p w14:paraId="24B37CD1" w14:textId="77777777" w:rsidR="002C2049" w:rsidRDefault="00C43488"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Dividendy versus výnosy dluhopisů</w:t>
      </w:r>
    </w:p>
    <w:p w14:paraId="14C82749" w14:textId="77777777" w:rsidR="00C43488" w:rsidRDefault="00C43488" w:rsidP="00F60A53">
      <w:pPr>
        <w:spacing w:after="210" w:line="276" w:lineRule="auto"/>
        <w:rPr>
          <w:color w:val="000000" w:themeColor="text1"/>
        </w:rPr>
      </w:pPr>
      <w:r w:rsidRPr="00C43488">
        <w:rPr>
          <w:color w:val="000000" w:themeColor="text1"/>
        </w:rPr>
        <w:t xml:space="preserve">Dynamika mezi výnosy akcií a dluhopisů se změnila. Akciové dividendy byly jednou z možností, kam se šlo schovávat v době nízkých výnosů. Dopad inflace, vyšších sazeb a pravděpodobného tvrdého přistání vyspělých trhů na výnosy toto však podkopává. S desetiletými americkými státními dluhopisy nad 4 % a podnikovými dluhopisy investičního stupně nabízejícími 6 % mohou nyní investoři kupovat </w:t>
      </w:r>
      <w:r w:rsidRPr="00C43488">
        <w:rPr>
          <w:color w:val="000000" w:themeColor="text1"/>
        </w:rPr>
        <w:lastRenderedPageBreak/>
        <w:t>výnosy podobné dividendám, jaké nabízejí velké nadnárodní společnosti, a bez stejného druhu rizik – za předpokladu, že země a firmy nebudou v platební neschopnosti.</w:t>
      </w:r>
    </w:p>
    <w:p w14:paraId="0AD3E143" w14:textId="4A29EFB3" w:rsidR="00F60A53" w:rsidRPr="00F60A53" w:rsidRDefault="00C43488" w:rsidP="00F60A53">
      <w:pPr>
        <w:spacing w:after="210" w:line="276" w:lineRule="auto"/>
        <w:rPr>
          <w:color w:val="000000" w:themeColor="text1"/>
        </w:rPr>
      </w:pPr>
      <w:r w:rsidRPr="00C43488">
        <w:rPr>
          <w:color w:val="000000" w:themeColor="text1"/>
        </w:rPr>
        <w:t xml:space="preserve">Dlouho tomu tak nebylo. Níže uvedený graf ukazuje, jak se v posledních deseti letech propadl náskok podnikových, natož státních dluhopisových výnosů, před dividendovými výnosy – a jak se v posledních šesti měsících odrazil. Jinými slovy, nyní existuje alternativa a dluhopisy jsou zpět.  </w:t>
      </w:r>
    </w:p>
    <w:p w14:paraId="22ED09D2" w14:textId="797BEFFC" w:rsidR="00C43488" w:rsidRDefault="00C43488" w:rsidP="00F60A53">
      <w:pPr>
        <w:spacing w:after="210" w:line="276" w:lineRule="auto"/>
        <w:rPr>
          <w:rFonts w:asciiTheme="minorHAnsi" w:eastAsiaTheme="minorHAnsi" w:hAnsiTheme="minorHAnsi" w:cstheme="minorBidi"/>
          <w:b/>
          <w:sz w:val="24"/>
          <w:szCs w:val="24"/>
          <w:lang w:eastAsia="en-US"/>
        </w:rPr>
      </w:pPr>
      <w:r w:rsidRPr="00C43488">
        <w:rPr>
          <w:rFonts w:asciiTheme="minorHAnsi" w:eastAsiaTheme="minorHAnsi" w:hAnsiTheme="minorHAnsi" w:cstheme="minorBidi"/>
          <w:b/>
          <w:sz w:val="24"/>
          <w:szCs w:val="24"/>
          <w:lang w:eastAsia="en-US"/>
        </w:rPr>
        <w:t xml:space="preserve">Graf 1: Výnosy podnikových dluhopisů se vrací </w:t>
      </w:r>
    </w:p>
    <w:p w14:paraId="7A9E85D1" w14:textId="77777777" w:rsidR="00C43488" w:rsidRDefault="00C43488" w:rsidP="00F60A53">
      <w:pPr>
        <w:spacing w:after="210" w:line="276" w:lineRule="auto"/>
        <w:rPr>
          <w:rFonts w:ascii="Times New Roman" w:hAnsi="Times New Roman" w:cs="Times New Roman"/>
          <w:i/>
          <w:sz w:val="24"/>
          <w:szCs w:val="24"/>
        </w:rPr>
      </w:pPr>
      <w:r w:rsidRPr="00C43488">
        <w:rPr>
          <w:rFonts w:ascii="Times New Roman" w:hAnsi="Times New Roman" w:cs="Times New Roman"/>
          <w:i/>
          <w:sz w:val="24"/>
          <w:szCs w:val="24"/>
        </w:rPr>
        <w:t>Výnosy podnikových IG minus dividendové výnosy od roku 2002</w:t>
      </w:r>
    </w:p>
    <w:p w14:paraId="2E809C89" w14:textId="77777777" w:rsidR="00C43488" w:rsidRDefault="00C43488" w:rsidP="00F60A53">
      <w:pPr>
        <w:spacing w:after="210" w:line="276" w:lineRule="auto"/>
        <w:rPr>
          <w:i/>
        </w:rPr>
      </w:pPr>
      <w:r w:rsidRPr="00C43488">
        <w:rPr>
          <w:rFonts w:ascii="Times New Roman" w:hAnsi="Times New Roman" w:cs="Times New Roman"/>
          <w:i/>
          <w:noProof/>
          <w:sz w:val="24"/>
          <w:szCs w:val="24"/>
        </w:rPr>
        <w:drawing>
          <wp:inline distT="0" distB="0" distL="0" distR="0" wp14:anchorId="0A416946" wp14:editId="0A705F46">
            <wp:extent cx="5759450" cy="2174396"/>
            <wp:effectExtent l="1905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59450" cy="2174396"/>
                    </a:xfrm>
                    <a:prstGeom prst="rect">
                      <a:avLst/>
                    </a:prstGeom>
                  </pic:spPr>
                </pic:pic>
              </a:graphicData>
            </a:graphic>
          </wp:inline>
        </w:drawing>
      </w:r>
      <w:r w:rsidRPr="00C43488">
        <w:rPr>
          <w:i/>
        </w:rPr>
        <w:t xml:space="preserve">Graf ukazuje americké a eurové indexy </w:t>
      </w:r>
      <w:proofErr w:type="spellStart"/>
      <w:r w:rsidRPr="00C43488">
        <w:rPr>
          <w:i/>
        </w:rPr>
        <w:t>Bloomberg</w:t>
      </w:r>
      <w:proofErr w:type="spellEnd"/>
      <w:r w:rsidRPr="00C43488">
        <w:rPr>
          <w:i/>
        </w:rPr>
        <w:t xml:space="preserve"> </w:t>
      </w:r>
      <w:proofErr w:type="spellStart"/>
      <w:r w:rsidRPr="00C43488">
        <w:rPr>
          <w:i/>
        </w:rPr>
        <w:t>Agg</w:t>
      </w:r>
      <w:proofErr w:type="spellEnd"/>
      <w:r w:rsidRPr="00C43488">
        <w:rPr>
          <w:i/>
        </w:rPr>
        <w:t xml:space="preserve"> </w:t>
      </w:r>
      <w:proofErr w:type="spellStart"/>
      <w:r w:rsidRPr="00C43488">
        <w:rPr>
          <w:i/>
        </w:rPr>
        <w:t>Corporate</w:t>
      </w:r>
      <w:proofErr w:type="spellEnd"/>
      <w:r w:rsidRPr="00C43488">
        <w:rPr>
          <w:i/>
        </w:rPr>
        <w:t xml:space="preserve"> Index minus hrubé agregované dividendové výnosy S&amp;P 500 a STOXX </w:t>
      </w:r>
      <w:proofErr w:type="spellStart"/>
      <w:r w:rsidRPr="00C43488">
        <w:rPr>
          <w:i/>
        </w:rPr>
        <w:t>Europe</w:t>
      </w:r>
      <w:proofErr w:type="spellEnd"/>
      <w:r w:rsidRPr="00C43488">
        <w:rPr>
          <w:i/>
        </w:rPr>
        <w:t xml:space="preserve"> 600. Zdroj: </w:t>
      </w:r>
      <w:proofErr w:type="spellStart"/>
      <w:r w:rsidRPr="00C43488">
        <w:rPr>
          <w:i/>
        </w:rPr>
        <w:t>Bloomber</w:t>
      </w:r>
      <w:proofErr w:type="spellEnd"/>
      <w:r w:rsidRPr="00C43488">
        <w:rPr>
          <w:i/>
        </w:rPr>
        <w:t xml:space="preserve">, </w:t>
      </w:r>
      <w:proofErr w:type="spellStart"/>
      <w:r w:rsidRPr="00C43488">
        <w:rPr>
          <w:i/>
        </w:rPr>
        <w:t>Fidelity</w:t>
      </w:r>
      <w:proofErr w:type="spellEnd"/>
      <w:r w:rsidRPr="00C43488">
        <w:rPr>
          <w:i/>
        </w:rPr>
        <w:t xml:space="preserve"> International, říjen 2022.</w:t>
      </w:r>
    </w:p>
    <w:p w14:paraId="1702061E" w14:textId="77777777" w:rsidR="00C43488" w:rsidRDefault="00C43488" w:rsidP="00F60A53">
      <w:pPr>
        <w:spacing w:line="276" w:lineRule="auto"/>
        <w:rPr>
          <w:color w:val="000000" w:themeColor="text1"/>
        </w:rPr>
      </w:pPr>
      <w:r w:rsidRPr="00C43488">
        <w:rPr>
          <w:color w:val="000000" w:themeColor="text1"/>
        </w:rPr>
        <w:t>Důležité je, že výše výnosů se šíří i u dalších nástrojů s pevnými výnosy a na některých místech je ještě výraznější. Pohled na úvěrové spready naznačuje, že se ocenění na rozvíjejících se trzích a trzích s vyššími výnosy blíží bodu zlomu v důsledku silnějšího dolaru a problémů čínského sektoru nemovitostí, přičemž druhý jmenovaný bude pravděpodobně těžit z dalšího uvolnění politiky. I v těchto oblastech bude rozhodující načasování – je možné, že dokonce dojde k dalšímu otřesu, ale hlavní kupony a výnosy jsou prostě vyšší, než nějakou dobu byly.</w:t>
      </w:r>
    </w:p>
    <w:p w14:paraId="43B17847" w14:textId="77777777" w:rsidR="00C43488" w:rsidRPr="0052268E" w:rsidRDefault="00C43488" w:rsidP="00F60A53">
      <w:pPr>
        <w:spacing w:after="210" w:line="276" w:lineRule="auto"/>
        <w:rPr>
          <w:rFonts w:asciiTheme="minorHAnsi" w:eastAsiaTheme="minorHAnsi" w:hAnsiTheme="minorHAnsi" w:cstheme="minorBidi"/>
          <w:b/>
          <w:sz w:val="24"/>
          <w:szCs w:val="24"/>
          <w:lang w:eastAsia="en-US"/>
        </w:rPr>
      </w:pPr>
      <w:r w:rsidRPr="0052268E">
        <w:rPr>
          <w:rFonts w:asciiTheme="minorHAnsi" w:eastAsiaTheme="minorHAnsi" w:hAnsiTheme="minorHAnsi" w:cstheme="minorBidi"/>
          <w:b/>
          <w:sz w:val="24"/>
          <w:szCs w:val="24"/>
          <w:lang w:eastAsia="en-US"/>
        </w:rPr>
        <w:t xml:space="preserve">Dluhopisy jsou </w:t>
      </w:r>
      <w:proofErr w:type="spellStart"/>
      <w:r w:rsidRPr="0052268E">
        <w:rPr>
          <w:rFonts w:asciiTheme="minorHAnsi" w:eastAsiaTheme="minorHAnsi" w:hAnsiTheme="minorHAnsi" w:cstheme="minorBidi"/>
          <w:b/>
          <w:sz w:val="24"/>
          <w:szCs w:val="24"/>
          <w:lang w:eastAsia="en-US"/>
        </w:rPr>
        <w:t>podvažované</w:t>
      </w:r>
      <w:proofErr w:type="spellEnd"/>
      <w:r w:rsidRPr="0052268E">
        <w:rPr>
          <w:rFonts w:asciiTheme="minorHAnsi" w:eastAsiaTheme="minorHAnsi" w:hAnsiTheme="minorHAnsi" w:cstheme="minorBidi"/>
          <w:b/>
          <w:sz w:val="24"/>
          <w:szCs w:val="24"/>
          <w:lang w:eastAsia="en-US"/>
        </w:rPr>
        <w:t xml:space="preserve"> v portfoliích</w:t>
      </w:r>
    </w:p>
    <w:p w14:paraId="0A600B4C" w14:textId="77777777" w:rsidR="0052268E" w:rsidRDefault="0052268E" w:rsidP="00F60A53">
      <w:pPr>
        <w:spacing w:after="210" w:line="276" w:lineRule="auto"/>
        <w:rPr>
          <w:color w:val="000000" w:themeColor="text1"/>
        </w:rPr>
      </w:pPr>
      <w:r w:rsidRPr="0052268E">
        <w:rPr>
          <w:color w:val="000000" w:themeColor="text1"/>
        </w:rPr>
        <w:t xml:space="preserve">Navzdory lákavějším hladinám výnosů zůstávají dluhopisy v porovnání s akciemi v portfoliích zastoupené méně. Níže uvedený graf ukazuje, jak moc se investoři přesunuli od pádu banky </w:t>
      </w:r>
      <w:proofErr w:type="spellStart"/>
      <w:r w:rsidRPr="0052268E">
        <w:rPr>
          <w:color w:val="000000" w:themeColor="text1"/>
        </w:rPr>
        <w:t>Lehman</w:t>
      </w:r>
      <w:proofErr w:type="spellEnd"/>
      <w:r w:rsidRPr="0052268E">
        <w:rPr>
          <w:color w:val="000000" w:themeColor="text1"/>
        </w:rPr>
        <w:t xml:space="preserve"> </w:t>
      </w:r>
      <w:proofErr w:type="spellStart"/>
      <w:r w:rsidRPr="0052268E">
        <w:rPr>
          <w:color w:val="000000" w:themeColor="text1"/>
        </w:rPr>
        <w:t>Brothers</w:t>
      </w:r>
      <w:proofErr w:type="spellEnd"/>
      <w:r w:rsidRPr="0052268E">
        <w:rPr>
          <w:color w:val="000000" w:themeColor="text1"/>
        </w:rPr>
        <w:t xml:space="preserve"> k akciím, což by se mohlo konečně zvrátit. Před rokem 2008 měli nebankovní investoři tendenci držet v akciích celkově méně než pětinu svých portfolií. Od roku 2009 je tomu naopak a v letech 2020 a 2021 to byla spíše čtvrtina. Prudký výprodej dluhopisových aktiv v letošním roce, kdy centrální banky způsobily úpravu výnosů, tuto pozici jen zhoršil. To by mělo investorům ponechat velký prostor pro to, aby navýšili alokaci do dluhopisů a získali větší diverzifikační výhody napříč portfolii.</w:t>
      </w:r>
    </w:p>
    <w:p w14:paraId="219E0B5F" w14:textId="77777777" w:rsidR="0052268E" w:rsidRDefault="0052268E" w:rsidP="00F60A53">
      <w:pPr>
        <w:spacing w:line="276" w:lineRule="auto"/>
        <w:rPr>
          <w:rFonts w:asciiTheme="minorHAnsi" w:eastAsiaTheme="minorHAnsi" w:hAnsiTheme="minorHAnsi" w:cstheme="minorBidi"/>
          <w:b/>
          <w:sz w:val="24"/>
          <w:szCs w:val="24"/>
          <w:lang w:eastAsia="en-US"/>
        </w:rPr>
      </w:pPr>
    </w:p>
    <w:p w14:paraId="2504F4A4" w14:textId="77777777" w:rsidR="00F60A53" w:rsidRDefault="00F60A53" w:rsidP="00F60A53">
      <w:pPr>
        <w:spacing w:line="276" w:lineRule="auto"/>
        <w:rPr>
          <w:rFonts w:asciiTheme="minorHAnsi" w:eastAsiaTheme="minorHAnsi" w:hAnsiTheme="minorHAnsi" w:cstheme="minorBidi"/>
          <w:b/>
          <w:sz w:val="24"/>
          <w:szCs w:val="24"/>
          <w:lang w:eastAsia="en-US"/>
        </w:rPr>
      </w:pPr>
    </w:p>
    <w:p w14:paraId="36B0281F" w14:textId="77777777" w:rsidR="00F60A53" w:rsidRDefault="00F60A53" w:rsidP="00F60A53">
      <w:pPr>
        <w:spacing w:line="276" w:lineRule="auto"/>
        <w:rPr>
          <w:rFonts w:asciiTheme="minorHAnsi" w:eastAsiaTheme="minorHAnsi" w:hAnsiTheme="minorHAnsi" w:cstheme="minorBidi"/>
          <w:b/>
          <w:sz w:val="24"/>
          <w:szCs w:val="24"/>
          <w:lang w:eastAsia="en-US"/>
        </w:rPr>
      </w:pPr>
    </w:p>
    <w:p w14:paraId="30DADB2C" w14:textId="5FCDD1C3" w:rsidR="00C43488" w:rsidRPr="00C43488" w:rsidRDefault="0052268E" w:rsidP="00F60A53">
      <w:pPr>
        <w:spacing w:line="276" w:lineRule="auto"/>
      </w:pPr>
      <w:r w:rsidRPr="0052268E">
        <w:rPr>
          <w:rFonts w:asciiTheme="minorHAnsi" w:eastAsiaTheme="minorHAnsi" w:hAnsiTheme="minorHAnsi" w:cstheme="minorBidi"/>
          <w:b/>
          <w:sz w:val="24"/>
          <w:szCs w:val="24"/>
          <w:lang w:eastAsia="en-US"/>
        </w:rPr>
        <w:t>Graf 2: Oživení dluhopisů</w:t>
      </w:r>
    </w:p>
    <w:p w14:paraId="5716F56F" w14:textId="77777777" w:rsidR="0056231D" w:rsidRDefault="0052268E" w:rsidP="00F60A53">
      <w:pPr>
        <w:spacing w:after="210" w:line="276" w:lineRule="auto"/>
        <w:rPr>
          <w:color w:val="000000" w:themeColor="text1"/>
        </w:rPr>
      </w:pPr>
      <w:r w:rsidRPr="0052268E">
        <w:rPr>
          <w:noProof/>
          <w:color w:val="000000" w:themeColor="text1"/>
        </w:rPr>
        <w:lastRenderedPageBreak/>
        <w:drawing>
          <wp:inline distT="0" distB="0" distL="0" distR="0" wp14:anchorId="1403C6CA" wp14:editId="6FEDFC5C">
            <wp:extent cx="5759450" cy="2446750"/>
            <wp:effectExtent l="19050" t="0" r="0" b="0"/>
            <wp:docPr id="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59450" cy="2446750"/>
                    </a:xfrm>
                    <a:prstGeom prst="rect">
                      <a:avLst/>
                    </a:prstGeom>
                  </pic:spPr>
                </pic:pic>
              </a:graphicData>
            </a:graphic>
          </wp:inline>
        </w:drawing>
      </w:r>
    </w:p>
    <w:p w14:paraId="26D283FC" w14:textId="77777777" w:rsidR="0052268E" w:rsidRPr="0052268E" w:rsidRDefault="0052268E" w:rsidP="00F60A53">
      <w:pPr>
        <w:spacing w:line="276" w:lineRule="auto"/>
        <w:jc w:val="right"/>
        <w:rPr>
          <w:i/>
        </w:rPr>
      </w:pPr>
      <w:r w:rsidRPr="0052268E">
        <w:rPr>
          <w:i/>
        </w:rPr>
        <w:t xml:space="preserve">Zdroj: JP Morgan, </w:t>
      </w:r>
      <w:proofErr w:type="spellStart"/>
      <w:r w:rsidRPr="0052268E">
        <w:rPr>
          <w:i/>
        </w:rPr>
        <w:t>Fidelity</w:t>
      </w:r>
      <w:proofErr w:type="spellEnd"/>
      <w:r w:rsidRPr="0052268E">
        <w:rPr>
          <w:i/>
        </w:rPr>
        <w:t xml:space="preserve"> International, 2022.</w:t>
      </w:r>
    </w:p>
    <w:p w14:paraId="751E1A28" w14:textId="77777777" w:rsidR="0052268E" w:rsidRDefault="0052268E" w:rsidP="00F60A53">
      <w:pPr>
        <w:spacing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Zatím opatrně</w:t>
      </w:r>
    </w:p>
    <w:p w14:paraId="1EDE78E7" w14:textId="77777777" w:rsidR="0052268E" w:rsidRPr="0052268E" w:rsidRDefault="0052268E" w:rsidP="00F60A53">
      <w:pPr>
        <w:spacing w:line="276" w:lineRule="auto"/>
        <w:rPr>
          <w:color w:val="000000" w:themeColor="text1"/>
        </w:rPr>
      </w:pPr>
      <w:r w:rsidRPr="0052268E">
        <w:rPr>
          <w:color w:val="000000" w:themeColor="text1"/>
        </w:rPr>
        <w:t xml:space="preserve">Svět je stále nesmírně komplikovaný. Trhy již několik měsíců bezvýsledně čekají na obrat </w:t>
      </w:r>
      <w:proofErr w:type="spellStart"/>
      <w:r w:rsidRPr="0052268E">
        <w:rPr>
          <w:color w:val="000000" w:themeColor="text1"/>
        </w:rPr>
        <w:t>Fedu</w:t>
      </w:r>
      <w:proofErr w:type="spellEnd"/>
      <w:r w:rsidRPr="0052268E">
        <w:rPr>
          <w:color w:val="000000" w:themeColor="text1"/>
        </w:rPr>
        <w:t xml:space="preserve"> ohledně sazeb. Řada ekonomických dat z USA stále ukazuje, že USA jsou na tom lépe než konkurence. Jižní periferie Evropy s sebou také nesou značné riziko dalších výprodejů a „riziko nákazy“, protože Evropská centrální banka se snaží zvládnout energetickou krizi a zároveň omezit inflaci. Spotřebitelské ceny se nakonec začnou stabilizovat s tím, jak poptávka oslabí. </w:t>
      </w:r>
    </w:p>
    <w:p w14:paraId="57D0FFDF" w14:textId="77777777" w:rsidR="00D652FC" w:rsidRDefault="0052268E" w:rsidP="00F60A53">
      <w:pPr>
        <w:spacing w:line="276" w:lineRule="auto"/>
        <w:rPr>
          <w:color w:val="000000" w:themeColor="text1"/>
        </w:rPr>
      </w:pPr>
      <w:r w:rsidRPr="0052268E">
        <w:rPr>
          <w:color w:val="000000" w:themeColor="text1"/>
        </w:rPr>
        <w:t>Další trendy mohou být podpůrné. Vyšší sazby a snížená aktivita v oblasti fúzí a akvizic budou v budoucnu snižovat nabídku korporátních dluhopisů. Rostoucí trh udržitelných dluhopisů poskytuje vládám další příležitosti, jak si půjčit za nižší náklady. Prostředí pro potenciální výnosy se zásadně mění. Dluhopisy jsou zpět.</w:t>
      </w:r>
    </w:p>
    <w:p w14:paraId="07F4F292" w14:textId="77777777" w:rsidR="0052268E" w:rsidRPr="0052268E" w:rsidRDefault="0052268E" w:rsidP="0052268E">
      <w:pPr>
        <w:pStyle w:val="F2-zkladn"/>
      </w:pPr>
    </w:p>
    <w:p w14:paraId="5B0A755F" w14:textId="77777777"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77777777" w:rsidR="00841B72" w:rsidRPr="00505FAA"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D404D5">
        <w:rPr>
          <w:color w:val="000000"/>
          <w:lang w:eastAsia="en-US"/>
        </w:rPr>
        <w:lastRenderedPageBreak/>
        <w:t>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lastRenderedPageBreak/>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77777777" w:rsidR="00B42703" w:rsidRPr="00E667B4" w:rsidRDefault="0052268E" w:rsidP="0052268E">
      <w:pPr>
        <w:pStyle w:val="F2-zkladn"/>
      </w:pPr>
      <w:r w:rsidRPr="0052268E">
        <w:t>MKAT10976</w:t>
      </w:r>
    </w:p>
    <w:sectPr w:rsidR="00B42703" w:rsidRPr="00E667B4" w:rsidSect="002F1160">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3D11" w14:textId="77777777" w:rsidR="0062106A" w:rsidRDefault="0062106A">
      <w:r>
        <w:separator/>
      </w:r>
    </w:p>
  </w:endnote>
  <w:endnote w:type="continuationSeparator" w:id="0">
    <w:p w14:paraId="2E7D837C" w14:textId="77777777" w:rsidR="0062106A" w:rsidRDefault="0062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7F19" w14:textId="77777777" w:rsidR="0062106A" w:rsidRDefault="0062106A">
      <w:r>
        <w:separator/>
      </w:r>
    </w:p>
  </w:footnote>
  <w:footnote w:type="continuationSeparator" w:id="0">
    <w:p w14:paraId="7EDFF72A" w14:textId="77777777" w:rsidR="0062106A" w:rsidRDefault="0062106A">
      <w:r>
        <w:continuationSeparator/>
      </w:r>
    </w:p>
  </w:footnote>
  <w:footnote w:type="continuationNotice" w:id="1">
    <w:p w14:paraId="0BAAEEE5" w14:textId="77777777" w:rsidR="0062106A" w:rsidRDefault="00621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krohova@crestc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9165</Characters>
  <Application>Microsoft Office Word</Application>
  <DocSecurity>0</DocSecurity>
  <Lines>76</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Dokument</vt:lpstr>
      <vt:lpstr>Dokument</vt:lpstr>
    </vt:vector>
  </TitlesOfParts>
  <Company>TPA-NOTIA, s.r.o.</Company>
  <LinksUpToDate>false</LinksUpToDate>
  <CharactersWithSpaces>10697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2022-11-11T10:30:00Z</dcterms:created>
  <dcterms:modified xsi:type="dcterms:W3CDTF">2022-11-11T10:30:00Z</dcterms:modified>
</cp:coreProperties>
</file>